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43088" w14:textId="77777777" w:rsidR="006E46EC" w:rsidRPr="006E46EC" w:rsidRDefault="799419F6" w:rsidP="006E46EC">
      <w:pPr>
        <w:pStyle w:val="Title"/>
        <w:rPr>
          <w:spacing w:val="0"/>
          <w:kern w:val="0"/>
          <w:sz w:val="48"/>
          <w:szCs w:val="48"/>
        </w:rPr>
      </w:pPr>
      <w:r w:rsidRPr="006E46EC">
        <w:rPr>
          <w:spacing w:val="0"/>
          <w:kern w:val="0"/>
          <w:sz w:val="48"/>
          <w:szCs w:val="48"/>
        </w:rPr>
        <w:t xml:space="preserve">Supplementary </w:t>
      </w:r>
      <w:r w:rsidR="006E46EC" w:rsidRPr="006E46EC">
        <w:rPr>
          <w:spacing w:val="0"/>
          <w:kern w:val="0"/>
          <w:sz w:val="48"/>
          <w:szCs w:val="48"/>
        </w:rPr>
        <w:t>M</w:t>
      </w:r>
      <w:r w:rsidRPr="006E46EC">
        <w:rPr>
          <w:spacing w:val="0"/>
          <w:kern w:val="0"/>
          <w:sz w:val="48"/>
          <w:szCs w:val="48"/>
        </w:rPr>
        <w:t>aterial</w:t>
      </w:r>
    </w:p>
    <w:p w14:paraId="088CD5A3" w14:textId="4B0FBBAF" w:rsidR="00A74259" w:rsidRDefault="799419F6" w:rsidP="006E46EC">
      <w:pPr>
        <w:pStyle w:val="Heading1"/>
        <w:rPr>
          <w:i/>
          <w:iCs/>
          <w:color w:val="auto"/>
        </w:rPr>
      </w:pPr>
      <w:proofErr w:type="spellStart"/>
      <w:r w:rsidRPr="006E46EC">
        <w:rPr>
          <w:i/>
          <w:iCs/>
          <w:color w:val="auto"/>
        </w:rPr>
        <w:t>QPolypNet</w:t>
      </w:r>
      <w:proofErr w:type="spellEnd"/>
      <w:r w:rsidRPr="006E46EC">
        <w:rPr>
          <w:i/>
          <w:iCs/>
          <w:color w:val="auto"/>
        </w:rPr>
        <w:t>: A Quantum-Inspired Deep Learning Model for Polyp Segmentation</w:t>
      </w:r>
    </w:p>
    <w:p w14:paraId="348EFC94" w14:textId="427F2F84" w:rsidR="006E46EC" w:rsidRDefault="006E46EC" w:rsidP="006E46EC">
      <w:pPr>
        <w:pStyle w:val="Heading2"/>
        <w:numPr>
          <w:ilvl w:val="0"/>
          <w:numId w:val="2"/>
        </w:numPr>
        <w:rPr>
          <w:color w:val="auto"/>
        </w:rPr>
      </w:pPr>
      <w:r w:rsidRPr="006E46EC">
        <w:rPr>
          <w:color w:val="auto"/>
        </w:rPr>
        <w:t>Training and Validation Performance</w:t>
      </w:r>
    </w:p>
    <w:p w14:paraId="5F650BB6" w14:textId="4C1181CD" w:rsidR="006E46EC" w:rsidRPr="006E46EC" w:rsidRDefault="006E46EC" w:rsidP="006E46EC">
      <w:pPr>
        <w:ind w:left="720"/>
        <w:jc w:val="both"/>
      </w:pPr>
      <w:r w:rsidRPr="1D30018B">
        <w:rPr>
          <w:rFonts w:ascii="Aptos" w:eastAsia="Aptos" w:hAnsi="Aptos" w:cs="Aptos"/>
        </w:rPr>
        <w:t xml:space="preserve">To evaluate convergence behavior and training stability of </w:t>
      </w:r>
      <w:proofErr w:type="spellStart"/>
      <w:r w:rsidRPr="1D30018B">
        <w:rPr>
          <w:rFonts w:ascii="Aptos" w:eastAsia="Aptos" w:hAnsi="Aptos" w:cs="Aptos"/>
        </w:rPr>
        <w:t>QPolypNet</w:t>
      </w:r>
      <w:proofErr w:type="spellEnd"/>
      <w:r w:rsidRPr="1D30018B">
        <w:rPr>
          <w:rFonts w:ascii="Aptos" w:eastAsia="Aptos" w:hAnsi="Aptos" w:cs="Aptos"/>
        </w:rPr>
        <w:t xml:space="preserve">, we also performed an experiment using a combined dataset comprising samples from all four benchmarks. Figures 1 and 2 illustrate the training loss and validation Dice coefficient, respectively, aggregated over this mixed dataset. Although individual datasets were used for final model evaluation, this combined run provides a global view of the model’s learning dynamics. The training loss decreases rapidly and stabilizes after approximately 60 epochs, while the validation Dice steadily improves, indicating effective and stable optimization across diverse polyp characteristics. This consolidated view demonstrates </w:t>
      </w:r>
      <w:proofErr w:type="spellStart"/>
      <w:r w:rsidRPr="1D30018B">
        <w:rPr>
          <w:rFonts w:ascii="Aptos" w:eastAsia="Aptos" w:hAnsi="Aptos" w:cs="Aptos"/>
        </w:rPr>
        <w:t>QPolypNet’s</w:t>
      </w:r>
      <w:proofErr w:type="spellEnd"/>
      <w:r w:rsidRPr="1D30018B">
        <w:rPr>
          <w:rFonts w:ascii="Aptos" w:eastAsia="Aptos" w:hAnsi="Aptos" w:cs="Aptos"/>
        </w:rPr>
        <w:t xml:space="preserve"> ability to generalize across heterogeneous data sources and supports its robustness in multi-institutional clinical settings.</w:t>
      </w:r>
    </w:p>
    <w:p w14:paraId="70AD691E" w14:textId="2C9C086E" w:rsidR="00A74259" w:rsidRDefault="3FF34090" w:rsidP="1D30018B">
      <w:pPr>
        <w:spacing w:after="0"/>
        <w:ind w:left="720"/>
        <w:rPr>
          <w:rFonts w:ascii="Aptos" w:eastAsia="Aptos" w:hAnsi="Aptos" w:cs="Aptos"/>
        </w:rPr>
      </w:pPr>
      <w:r>
        <w:rPr>
          <w:noProof/>
        </w:rPr>
        <w:drawing>
          <wp:inline distT="0" distB="0" distL="0" distR="0" wp14:anchorId="06D273B5" wp14:editId="78F798D4">
            <wp:extent cx="4137669" cy="3103253"/>
            <wp:effectExtent l="0" t="0" r="0" b="0"/>
            <wp:docPr id="1338684755" name="Picture 1338684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4137669" cy="3103253"/>
                    </a:xfrm>
                    <a:prstGeom prst="rect">
                      <a:avLst/>
                    </a:prstGeom>
                  </pic:spPr>
                </pic:pic>
              </a:graphicData>
            </a:graphic>
          </wp:inline>
        </w:drawing>
      </w:r>
    </w:p>
    <w:p w14:paraId="17EE1AE4" w14:textId="1FB2506A" w:rsidR="00A74259" w:rsidRDefault="3FF34090" w:rsidP="006E46EC">
      <w:pPr>
        <w:spacing w:after="0"/>
        <w:ind w:left="720"/>
      </w:pPr>
      <w:r>
        <w:t>Fig</w:t>
      </w:r>
      <w:r w:rsidR="006E46EC">
        <w:t>ure</w:t>
      </w:r>
      <w:r>
        <w:t xml:space="preserve"> 1. Training loss curve on combined dataset showing convergence over</w:t>
      </w:r>
      <w:r w:rsidR="006E46EC">
        <w:t xml:space="preserve"> </w:t>
      </w:r>
      <w:r>
        <w:t>epochs</w:t>
      </w:r>
    </w:p>
    <w:p w14:paraId="1019A0DF" w14:textId="29728E9C" w:rsidR="00A74259" w:rsidRDefault="00A74259" w:rsidP="1D30018B">
      <w:pPr>
        <w:spacing w:after="0"/>
        <w:ind w:left="720"/>
      </w:pPr>
    </w:p>
    <w:p w14:paraId="25D33225" w14:textId="6AE39E5B" w:rsidR="00A74259" w:rsidRDefault="3FF34090" w:rsidP="1D30018B">
      <w:pPr>
        <w:spacing w:after="0"/>
        <w:ind w:left="720"/>
        <w:rPr>
          <w:rFonts w:ascii="Aptos" w:eastAsia="Aptos" w:hAnsi="Aptos" w:cs="Aptos"/>
        </w:rPr>
      </w:pPr>
      <w:r>
        <w:rPr>
          <w:noProof/>
        </w:rPr>
        <w:lastRenderedPageBreak/>
        <w:drawing>
          <wp:inline distT="0" distB="0" distL="0" distR="0" wp14:anchorId="54021595" wp14:editId="112EC2C6">
            <wp:extent cx="4188470" cy="3141354"/>
            <wp:effectExtent l="0" t="0" r="0" b="0"/>
            <wp:docPr id="1768255840" name="Picture 1768255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188470" cy="3141354"/>
                    </a:xfrm>
                    <a:prstGeom prst="rect">
                      <a:avLst/>
                    </a:prstGeom>
                  </pic:spPr>
                </pic:pic>
              </a:graphicData>
            </a:graphic>
          </wp:inline>
        </w:drawing>
      </w:r>
    </w:p>
    <w:p w14:paraId="2C078E63" w14:textId="6B36810B" w:rsidR="00A74259" w:rsidRPr="006E46EC" w:rsidRDefault="3FF34090" w:rsidP="006E46EC">
      <w:pPr>
        <w:spacing w:after="0"/>
        <w:ind w:left="720"/>
        <w:rPr>
          <w:rFonts w:ascii="Aptos" w:eastAsia="Aptos" w:hAnsi="Aptos" w:cs="Aptos"/>
        </w:rPr>
      </w:pPr>
      <w:r w:rsidRPr="1D30018B">
        <w:rPr>
          <w:rFonts w:ascii="Aptos" w:eastAsia="Aptos" w:hAnsi="Aptos" w:cs="Aptos"/>
        </w:rPr>
        <w:t>Fig</w:t>
      </w:r>
      <w:r w:rsidR="006E46EC">
        <w:rPr>
          <w:rFonts w:ascii="Aptos" w:eastAsia="Aptos" w:hAnsi="Aptos" w:cs="Aptos"/>
        </w:rPr>
        <w:t>ure</w:t>
      </w:r>
      <w:r w:rsidRPr="1D30018B">
        <w:rPr>
          <w:rFonts w:ascii="Aptos" w:eastAsia="Aptos" w:hAnsi="Aptos" w:cs="Aptos"/>
        </w:rPr>
        <w:t xml:space="preserve"> 2. Validation Dice coefficient on combined dataset improving over</w:t>
      </w:r>
      <w:r w:rsidR="006E46EC">
        <w:rPr>
          <w:rFonts w:ascii="Aptos" w:eastAsia="Aptos" w:hAnsi="Aptos" w:cs="Aptos"/>
        </w:rPr>
        <w:t xml:space="preserve"> </w:t>
      </w:r>
      <w:r w:rsidRPr="1D30018B">
        <w:rPr>
          <w:rFonts w:ascii="Aptos" w:eastAsia="Aptos" w:hAnsi="Aptos" w:cs="Aptos"/>
        </w:rPr>
        <w:t>training epochs.</w:t>
      </w:r>
    </w:p>
    <w:sectPr w:rsidR="00A74259" w:rsidRPr="006E4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1B0D6"/>
    <w:multiLevelType w:val="hybridMultilevel"/>
    <w:tmpl w:val="42ECB670"/>
    <w:lvl w:ilvl="0" w:tplc="57F85418">
      <w:start w:val="1"/>
      <w:numFmt w:val="decimal"/>
      <w:lvlText w:val="%1."/>
      <w:lvlJc w:val="left"/>
      <w:pPr>
        <w:ind w:left="720" w:hanging="360"/>
      </w:pPr>
    </w:lvl>
    <w:lvl w:ilvl="1" w:tplc="AEC2D094">
      <w:start w:val="1"/>
      <w:numFmt w:val="lowerLetter"/>
      <w:lvlText w:val="%2."/>
      <w:lvlJc w:val="left"/>
      <w:pPr>
        <w:ind w:left="1440" w:hanging="360"/>
      </w:pPr>
    </w:lvl>
    <w:lvl w:ilvl="2" w:tplc="40FC962E">
      <w:start w:val="1"/>
      <w:numFmt w:val="lowerRoman"/>
      <w:lvlText w:val="%3."/>
      <w:lvlJc w:val="right"/>
      <w:pPr>
        <w:ind w:left="2160" w:hanging="180"/>
      </w:pPr>
    </w:lvl>
    <w:lvl w:ilvl="3" w:tplc="D0ECACEE">
      <w:start w:val="1"/>
      <w:numFmt w:val="decimal"/>
      <w:lvlText w:val="%4."/>
      <w:lvlJc w:val="left"/>
      <w:pPr>
        <w:ind w:left="2880" w:hanging="360"/>
      </w:pPr>
    </w:lvl>
    <w:lvl w:ilvl="4" w:tplc="90C20F52">
      <w:start w:val="1"/>
      <w:numFmt w:val="lowerLetter"/>
      <w:lvlText w:val="%5."/>
      <w:lvlJc w:val="left"/>
      <w:pPr>
        <w:ind w:left="3600" w:hanging="360"/>
      </w:pPr>
    </w:lvl>
    <w:lvl w:ilvl="5" w:tplc="1E620D6C">
      <w:start w:val="1"/>
      <w:numFmt w:val="lowerRoman"/>
      <w:lvlText w:val="%6."/>
      <w:lvlJc w:val="right"/>
      <w:pPr>
        <w:ind w:left="4320" w:hanging="180"/>
      </w:pPr>
    </w:lvl>
    <w:lvl w:ilvl="6" w:tplc="32F079F2">
      <w:start w:val="1"/>
      <w:numFmt w:val="decimal"/>
      <w:lvlText w:val="%7."/>
      <w:lvlJc w:val="left"/>
      <w:pPr>
        <w:ind w:left="5040" w:hanging="360"/>
      </w:pPr>
    </w:lvl>
    <w:lvl w:ilvl="7" w:tplc="B2CAA7BE">
      <w:start w:val="1"/>
      <w:numFmt w:val="lowerLetter"/>
      <w:lvlText w:val="%8."/>
      <w:lvlJc w:val="left"/>
      <w:pPr>
        <w:ind w:left="5760" w:hanging="360"/>
      </w:pPr>
    </w:lvl>
    <w:lvl w:ilvl="8" w:tplc="A0F2037C">
      <w:start w:val="1"/>
      <w:numFmt w:val="lowerRoman"/>
      <w:lvlText w:val="%9."/>
      <w:lvlJc w:val="right"/>
      <w:pPr>
        <w:ind w:left="6480" w:hanging="180"/>
      </w:pPr>
    </w:lvl>
  </w:abstractNum>
  <w:abstractNum w:abstractNumId="1" w15:restartNumberingAfterBreak="0">
    <w:nsid w:val="33BD1226"/>
    <w:multiLevelType w:val="hybridMultilevel"/>
    <w:tmpl w:val="7A602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8983980">
    <w:abstractNumId w:val="0"/>
  </w:num>
  <w:num w:numId="2" w16cid:durableId="586310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6FD1977"/>
    <w:rsid w:val="006421DA"/>
    <w:rsid w:val="006E46EC"/>
    <w:rsid w:val="00A74259"/>
    <w:rsid w:val="16FD1977"/>
    <w:rsid w:val="17E7AAF7"/>
    <w:rsid w:val="193C4FA9"/>
    <w:rsid w:val="1D30018B"/>
    <w:rsid w:val="3FF34090"/>
    <w:rsid w:val="452D1379"/>
    <w:rsid w:val="49CBE4E6"/>
    <w:rsid w:val="54B392C9"/>
    <w:rsid w:val="54DC08AD"/>
    <w:rsid w:val="667C84FF"/>
    <w:rsid w:val="68D596C9"/>
    <w:rsid w:val="6D1F3D49"/>
    <w:rsid w:val="799419F6"/>
    <w:rsid w:val="7E3D5A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1977"/>
  <w15:chartTrackingRefBased/>
  <w15:docId w15:val="{A8831C43-5BB3-4054-95C5-0CF7297DB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1D3001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Majedul Islam</dc:creator>
  <cp:keywords/>
  <dc:description/>
  <cp:lastModifiedBy>Azim</cp:lastModifiedBy>
  <cp:revision>2</cp:revision>
  <dcterms:created xsi:type="dcterms:W3CDTF">2025-06-29T01:36:00Z</dcterms:created>
  <dcterms:modified xsi:type="dcterms:W3CDTF">2025-08-02T22:19:00Z</dcterms:modified>
</cp:coreProperties>
</file>